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9C9" w:rsidRPr="00486E67" w:rsidRDefault="000B1F80" w:rsidP="007817FA">
      <w:pPr>
        <w:spacing w:after="0" w:line="240" w:lineRule="auto"/>
        <w:ind w:firstLine="567"/>
        <w:jc w:val="center"/>
        <w:rPr>
          <w:rFonts w:ascii="Times New Roman" w:hAnsi="Times New Roman"/>
          <w:b/>
        </w:rPr>
      </w:pPr>
      <w:r w:rsidRPr="00486E67">
        <w:rPr>
          <w:rFonts w:ascii="Times New Roman" w:hAnsi="Times New Roman"/>
          <w:b/>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Pr="00486E67" w:rsidRDefault="00595B53" w:rsidP="007817FA">
      <w:pPr>
        <w:spacing w:after="120" w:line="240" w:lineRule="auto"/>
        <w:ind w:firstLine="567"/>
        <w:contextualSpacing/>
        <w:jc w:val="center"/>
        <w:rPr>
          <w:rFonts w:ascii="Times New Roman" w:hAnsi="Times New Roman"/>
        </w:rPr>
      </w:pPr>
      <w:r w:rsidRPr="00486E67">
        <w:rPr>
          <w:rFonts w:ascii="Times New Roman" w:hAnsi="Times New Roman"/>
        </w:rPr>
        <w:t>(відповідно до пункту 4</w:t>
      </w:r>
      <w:r w:rsidRPr="00486E67">
        <w:rPr>
          <w:rFonts w:ascii="Times New Roman" w:hAnsi="Times New Roman"/>
          <w:vertAlign w:val="superscript"/>
        </w:rPr>
        <w:t xml:space="preserve">1 </w:t>
      </w:r>
      <w:r w:rsidRPr="00486E67">
        <w:rPr>
          <w:rFonts w:ascii="Times New Roman" w:hAnsi="Times New Roman"/>
        </w:rPr>
        <w:t>постанови КМУ від 11.10.2016 № 710 «Про ефективне використання державних коштів» (зі змінами))</w:t>
      </w:r>
    </w:p>
    <w:p w:rsidR="000B1F80" w:rsidRPr="00486E67" w:rsidRDefault="000B1F80" w:rsidP="007817FA">
      <w:pPr>
        <w:pStyle w:val="a3"/>
        <w:numPr>
          <w:ilvl w:val="0"/>
          <w:numId w:val="1"/>
        </w:numPr>
        <w:tabs>
          <w:tab w:val="left" w:pos="851"/>
        </w:tabs>
        <w:spacing w:after="120" w:line="240" w:lineRule="auto"/>
        <w:ind w:left="0" w:firstLine="567"/>
        <w:contextualSpacing w:val="0"/>
        <w:jc w:val="both"/>
        <w:rPr>
          <w:rFonts w:ascii="Times New Roman" w:eastAsia="Times New Roman" w:hAnsi="Times New Roman"/>
          <w:sz w:val="22"/>
          <w:szCs w:val="22"/>
          <w:lang w:eastAsia="ru-RU"/>
        </w:rPr>
      </w:pPr>
      <w:r w:rsidRPr="00486E67">
        <w:rPr>
          <w:rFonts w:ascii="Times New Roman" w:eastAsia="Times New Roman" w:hAnsi="Times New Roman"/>
          <w:b/>
          <w:sz w:val="22"/>
          <w:szCs w:val="22"/>
          <w:lang w:eastAsia="ru-RU"/>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F23247" w:rsidRPr="00486E67">
        <w:rPr>
          <w:rFonts w:ascii="Times New Roman" w:eastAsia="Times New Roman" w:hAnsi="Times New Roman"/>
          <w:sz w:val="22"/>
          <w:szCs w:val="22"/>
          <w:lang w:eastAsia="ru-RU"/>
        </w:rPr>
        <w:t xml:space="preserve">Кіровоградський </w:t>
      </w:r>
      <w:r w:rsidR="00EC458C" w:rsidRPr="00486E67">
        <w:rPr>
          <w:rFonts w:ascii="Times New Roman" w:eastAsia="Times New Roman" w:hAnsi="Times New Roman"/>
          <w:sz w:val="22"/>
          <w:szCs w:val="22"/>
          <w:lang w:eastAsia="ru-RU"/>
        </w:rPr>
        <w:t>міськрайонний</w:t>
      </w:r>
      <w:r w:rsidR="00F23247" w:rsidRPr="00486E67">
        <w:rPr>
          <w:rFonts w:ascii="Times New Roman" w:eastAsia="Times New Roman" w:hAnsi="Times New Roman"/>
          <w:sz w:val="22"/>
          <w:szCs w:val="22"/>
          <w:lang w:eastAsia="ru-RU"/>
        </w:rPr>
        <w:t xml:space="preserve"> центр зайнятості</w:t>
      </w:r>
      <w:r w:rsidR="00064FB9">
        <w:rPr>
          <w:rFonts w:ascii="Times New Roman" w:eastAsia="Times New Roman" w:hAnsi="Times New Roman"/>
          <w:sz w:val="22"/>
          <w:szCs w:val="22"/>
          <w:lang w:eastAsia="ru-RU"/>
        </w:rPr>
        <w:t>:</w:t>
      </w:r>
      <w:r w:rsidRPr="00486E67">
        <w:rPr>
          <w:rFonts w:ascii="Times New Roman" w:eastAsia="Times New Roman" w:hAnsi="Times New Roman"/>
          <w:sz w:val="22"/>
          <w:szCs w:val="22"/>
          <w:lang w:eastAsia="ru-RU"/>
        </w:rPr>
        <w:t xml:space="preserve"> вул. </w:t>
      </w:r>
      <w:r w:rsidR="00EC458C" w:rsidRPr="00486E67">
        <w:rPr>
          <w:rFonts w:ascii="Times New Roman" w:eastAsia="Times New Roman" w:hAnsi="Times New Roman"/>
          <w:sz w:val="22"/>
          <w:szCs w:val="22"/>
          <w:lang w:eastAsia="ru-RU"/>
        </w:rPr>
        <w:t>Євгена Маланюка</w:t>
      </w:r>
      <w:r w:rsidRPr="00486E67">
        <w:rPr>
          <w:rFonts w:ascii="Times New Roman" w:eastAsia="Times New Roman" w:hAnsi="Times New Roman"/>
          <w:sz w:val="22"/>
          <w:szCs w:val="22"/>
          <w:lang w:eastAsia="ru-RU"/>
        </w:rPr>
        <w:t xml:space="preserve">, </w:t>
      </w:r>
      <w:r w:rsidR="00EC458C" w:rsidRPr="00486E67">
        <w:rPr>
          <w:rFonts w:ascii="Times New Roman" w:eastAsia="Times New Roman" w:hAnsi="Times New Roman"/>
          <w:sz w:val="22"/>
          <w:szCs w:val="22"/>
          <w:lang w:eastAsia="ru-RU"/>
        </w:rPr>
        <w:t>15</w:t>
      </w:r>
      <w:r w:rsidRPr="00486E67">
        <w:rPr>
          <w:rFonts w:ascii="Times New Roman" w:eastAsia="Times New Roman" w:hAnsi="Times New Roman"/>
          <w:sz w:val="22"/>
          <w:szCs w:val="22"/>
          <w:lang w:eastAsia="ru-RU"/>
        </w:rPr>
        <w:t xml:space="preserve">, </w:t>
      </w:r>
      <w:r w:rsidR="00064FB9">
        <w:rPr>
          <w:rFonts w:ascii="Times New Roman" w:eastAsia="Times New Roman" w:hAnsi="Times New Roman"/>
          <w:sz w:val="22"/>
          <w:szCs w:val="22"/>
          <w:lang w:eastAsia="ru-RU"/>
        </w:rPr>
        <w:t xml:space="preserve">                </w:t>
      </w:r>
      <w:r w:rsidRPr="00486E67">
        <w:rPr>
          <w:rFonts w:ascii="Times New Roman" w:eastAsia="Times New Roman" w:hAnsi="Times New Roman"/>
          <w:sz w:val="22"/>
          <w:szCs w:val="22"/>
          <w:lang w:eastAsia="ru-RU"/>
        </w:rPr>
        <w:t>м. К</w:t>
      </w:r>
      <w:r w:rsidR="00F23247" w:rsidRPr="00486E67">
        <w:rPr>
          <w:rFonts w:ascii="Times New Roman" w:eastAsia="Times New Roman" w:hAnsi="Times New Roman"/>
          <w:sz w:val="22"/>
          <w:szCs w:val="22"/>
          <w:lang w:eastAsia="ru-RU"/>
        </w:rPr>
        <w:t>ропивницький</w:t>
      </w:r>
      <w:r w:rsidRPr="00486E67">
        <w:rPr>
          <w:rFonts w:ascii="Times New Roman" w:eastAsia="Times New Roman" w:hAnsi="Times New Roman"/>
          <w:sz w:val="22"/>
          <w:szCs w:val="22"/>
          <w:lang w:eastAsia="ru-RU"/>
        </w:rPr>
        <w:t xml:space="preserve">, </w:t>
      </w:r>
      <w:r w:rsidR="00F23247" w:rsidRPr="00486E67">
        <w:rPr>
          <w:rFonts w:ascii="Times New Roman" w:eastAsia="Times New Roman" w:hAnsi="Times New Roman"/>
          <w:sz w:val="22"/>
          <w:szCs w:val="22"/>
          <w:lang w:eastAsia="ru-RU"/>
        </w:rPr>
        <w:t>25015</w:t>
      </w:r>
      <w:r w:rsidRPr="00486E67">
        <w:rPr>
          <w:rFonts w:ascii="Times New Roman" w:eastAsia="Times New Roman" w:hAnsi="Times New Roman"/>
          <w:sz w:val="22"/>
          <w:szCs w:val="22"/>
          <w:lang w:eastAsia="ru-RU"/>
        </w:rPr>
        <w:t xml:space="preserve">; код за ЄДРПОУ – </w:t>
      </w:r>
      <w:r w:rsidR="00EC458C" w:rsidRPr="00486E67">
        <w:rPr>
          <w:rFonts w:ascii="Times New Roman" w:eastAsia="Times New Roman" w:hAnsi="Times New Roman"/>
          <w:sz w:val="22"/>
          <w:szCs w:val="22"/>
          <w:lang w:eastAsia="ru-RU"/>
        </w:rPr>
        <w:t>22218952</w:t>
      </w:r>
      <w:r w:rsidRPr="00486E67">
        <w:rPr>
          <w:rFonts w:ascii="Times New Roman" w:eastAsia="Times New Roman" w:hAnsi="Times New Roman"/>
          <w:sz w:val="22"/>
          <w:szCs w:val="22"/>
          <w:lang w:eastAsia="ru-RU"/>
        </w:rPr>
        <w:t xml:space="preserve">; категорія замовника – орган </w:t>
      </w:r>
      <w:r w:rsidR="00F23247" w:rsidRPr="00486E67">
        <w:rPr>
          <w:rFonts w:ascii="Times New Roman" w:eastAsia="Times New Roman" w:hAnsi="Times New Roman"/>
          <w:sz w:val="22"/>
          <w:szCs w:val="22"/>
          <w:lang w:eastAsia="ru-RU"/>
        </w:rPr>
        <w:t>соціального страхування</w:t>
      </w:r>
      <w:r w:rsidRPr="00486E67">
        <w:rPr>
          <w:rFonts w:ascii="Times New Roman" w:eastAsia="Times New Roman" w:hAnsi="Times New Roman"/>
          <w:sz w:val="22"/>
          <w:szCs w:val="22"/>
          <w:lang w:eastAsia="ru-RU"/>
        </w:rPr>
        <w:t>.</w:t>
      </w:r>
      <w:bookmarkStart w:id="0" w:name="_GoBack"/>
      <w:bookmarkEnd w:id="0"/>
    </w:p>
    <w:p w:rsidR="009F610E" w:rsidRPr="00486E67" w:rsidRDefault="000B1F80" w:rsidP="00573D74">
      <w:pPr>
        <w:pStyle w:val="a3"/>
        <w:numPr>
          <w:ilvl w:val="0"/>
          <w:numId w:val="1"/>
        </w:numPr>
        <w:tabs>
          <w:tab w:val="left" w:pos="0"/>
        </w:tabs>
        <w:spacing w:after="120" w:line="240" w:lineRule="auto"/>
        <w:contextualSpacing w:val="0"/>
        <w:jc w:val="both"/>
        <w:rPr>
          <w:rFonts w:ascii="Times New Roman" w:eastAsia="Times New Roman" w:hAnsi="Times New Roman"/>
          <w:sz w:val="22"/>
          <w:szCs w:val="22"/>
          <w:lang w:eastAsia="ru-RU"/>
        </w:rPr>
      </w:pPr>
      <w:r w:rsidRPr="00486E67">
        <w:rPr>
          <w:rFonts w:ascii="Times New Roman" w:eastAsia="Times New Roman" w:hAnsi="Times New Roman"/>
          <w:b/>
          <w:sz w:val="22"/>
          <w:szCs w:val="22"/>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486E67">
        <w:rPr>
          <w:rFonts w:ascii="Times New Roman" w:eastAsia="Times New Roman" w:hAnsi="Times New Roman"/>
          <w:sz w:val="22"/>
          <w:szCs w:val="22"/>
          <w:lang w:eastAsia="ru-RU"/>
        </w:rPr>
        <w:t xml:space="preserve"> </w:t>
      </w:r>
      <w:r w:rsidR="00B42A97" w:rsidRPr="00486E67">
        <w:rPr>
          <w:rFonts w:ascii="Times New Roman" w:eastAsia="Times New Roman" w:hAnsi="Times New Roman"/>
          <w:sz w:val="22"/>
          <w:szCs w:val="22"/>
          <w:lang w:eastAsia="ru-RU"/>
        </w:rPr>
        <w:t>«</w:t>
      </w:r>
      <w:r w:rsidR="0080340E" w:rsidRPr="00486E67">
        <w:rPr>
          <w:rFonts w:ascii="Times New Roman" w:eastAsia="Times New Roman" w:hAnsi="Times New Roman"/>
          <w:sz w:val="22"/>
          <w:szCs w:val="22"/>
          <w:lang w:eastAsia="ru-RU"/>
        </w:rPr>
        <w:t>0</w:t>
      </w:r>
      <w:r w:rsidR="00EC458C" w:rsidRPr="00486E67">
        <w:rPr>
          <w:rFonts w:ascii="Times New Roman" w:eastAsia="Times New Roman" w:hAnsi="Times New Roman"/>
          <w:sz w:val="22"/>
          <w:szCs w:val="22"/>
          <w:lang w:eastAsia="ru-RU"/>
        </w:rPr>
        <w:t>9310000-5 — Електрична енергія</w:t>
      </w:r>
      <w:r w:rsidR="00B42A97" w:rsidRPr="00486E67">
        <w:rPr>
          <w:rFonts w:ascii="Times New Roman" w:eastAsia="Times New Roman" w:hAnsi="Times New Roman"/>
          <w:sz w:val="22"/>
          <w:szCs w:val="22"/>
          <w:lang w:eastAsia="ru-RU"/>
        </w:rPr>
        <w:t>».</w:t>
      </w:r>
    </w:p>
    <w:p w:rsidR="000B1F80" w:rsidRPr="00486E67" w:rsidRDefault="000B1F80" w:rsidP="00EC458C">
      <w:pPr>
        <w:pStyle w:val="a3"/>
        <w:numPr>
          <w:ilvl w:val="0"/>
          <w:numId w:val="1"/>
        </w:numPr>
        <w:tabs>
          <w:tab w:val="left" w:pos="851"/>
        </w:tabs>
        <w:spacing w:after="120" w:line="240" w:lineRule="auto"/>
        <w:contextualSpacing w:val="0"/>
        <w:jc w:val="both"/>
        <w:rPr>
          <w:rFonts w:ascii="Times New Roman" w:hAnsi="Times New Roman"/>
          <w:sz w:val="22"/>
          <w:szCs w:val="22"/>
        </w:rPr>
      </w:pPr>
      <w:r w:rsidRPr="00486E67">
        <w:rPr>
          <w:rFonts w:ascii="Times New Roman" w:eastAsia="Times New Roman" w:hAnsi="Times New Roman"/>
          <w:b/>
          <w:sz w:val="22"/>
          <w:szCs w:val="22"/>
          <w:lang w:eastAsia="ru-RU"/>
        </w:rPr>
        <w:t xml:space="preserve">Ідентифікатор закупівлі: </w:t>
      </w:r>
      <w:r w:rsidR="00EC458C" w:rsidRPr="00486E67">
        <w:rPr>
          <w:rFonts w:ascii="Times New Roman" w:eastAsia="Times New Roman" w:hAnsi="Times New Roman"/>
          <w:sz w:val="22"/>
          <w:szCs w:val="22"/>
          <w:lang w:eastAsia="ru-RU"/>
        </w:rPr>
        <w:t>UA-2022-10-19-003934-a</w:t>
      </w:r>
      <w:r w:rsidR="006C7939" w:rsidRPr="00486E67">
        <w:rPr>
          <w:rFonts w:ascii="Times New Roman" w:eastAsia="Times New Roman" w:hAnsi="Times New Roman"/>
          <w:sz w:val="22"/>
          <w:szCs w:val="22"/>
          <w:lang w:eastAsia="ru-RU"/>
        </w:rPr>
        <w:t>.</w:t>
      </w:r>
    </w:p>
    <w:p w:rsidR="00083B42" w:rsidRPr="00486E67" w:rsidRDefault="00F1761C" w:rsidP="00BF11A1">
      <w:pPr>
        <w:widowControl w:val="0"/>
        <w:tabs>
          <w:tab w:val="left" w:pos="540"/>
        </w:tabs>
        <w:spacing w:line="240" w:lineRule="auto"/>
        <w:ind w:firstLine="426"/>
        <w:jc w:val="both"/>
        <w:rPr>
          <w:rFonts w:ascii="Times New Roman" w:hAnsi="Times New Roman"/>
        </w:rPr>
      </w:pPr>
      <w:r w:rsidRPr="00486E67">
        <w:rPr>
          <w:rFonts w:ascii="Times New Roman" w:eastAsia="Times New Roman" w:hAnsi="Times New Roman"/>
          <w:b/>
          <w:lang w:eastAsia="ru-RU"/>
        </w:rPr>
        <w:t xml:space="preserve">4. </w:t>
      </w:r>
      <w:r w:rsidR="00595B53" w:rsidRPr="00486E67">
        <w:rPr>
          <w:rFonts w:ascii="Times New Roman" w:eastAsia="Times New Roman" w:hAnsi="Times New Roman"/>
          <w:b/>
          <w:lang w:eastAsia="ru-RU"/>
        </w:rPr>
        <w:t>Обґрунтування технічних та якісних характеристик предмета закупівлі:</w:t>
      </w:r>
      <w:r w:rsidR="00330E37" w:rsidRPr="00486E67">
        <w:rPr>
          <w:rFonts w:ascii="Times New Roman" w:hAnsi="Times New Roman"/>
        </w:rPr>
        <w:t xml:space="preserve"> </w:t>
      </w:r>
    </w:p>
    <w:p w:rsidR="00893170" w:rsidRPr="00486E67" w:rsidRDefault="00486E67" w:rsidP="00893170">
      <w:pPr>
        <w:autoSpaceDE w:val="0"/>
        <w:spacing w:line="240" w:lineRule="auto"/>
        <w:ind w:firstLine="567"/>
        <w:jc w:val="center"/>
        <w:rPr>
          <w:rStyle w:val="FontStyle12"/>
          <w:rFonts w:eastAsia="Times New Roman"/>
          <w:b/>
          <w:bCs/>
          <w:sz w:val="22"/>
          <w:szCs w:val="22"/>
          <w:shd w:val="clear" w:color="auto" w:fill="FFFFFF"/>
        </w:rPr>
      </w:pPr>
      <w:r w:rsidRPr="00486E67">
        <w:rPr>
          <w:rStyle w:val="FontStyle12"/>
          <w:rFonts w:eastAsia="Times New Roman"/>
          <w:b/>
          <w:bCs/>
          <w:sz w:val="22"/>
          <w:szCs w:val="22"/>
          <w:shd w:val="clear" w:color="auto" w:fill="FFFFFF"/>
        </w:rPr>
        <w:t>Електрична енергія (з урахуванням затвердженого у встановленому законодавством порядку тарифу на послуги з передачі електричної енергії)</w:t>
      </w:r>
    </w:p>
    <w:tbl>
      <w:tblPr>
        <w:tblStyle w:val="a7"/>
        <w:tblW w:w="0" w:type="auto"/>
        <w:tblInd w:w="675" w:type="dxa"/>
        <w:tblLook w:val="04A0" w:firstRow="1" w:lastRow="0" w:firstColumn="1" w:lastColumn="0" w:noHBand="0" w:noVBand="1"/>
      </w:tblPr>
      <w:tblGrid>
        <w:gridCol w:w="4962"/>
        <w:gridCol w:w="4110"/>
      </w:tblGrid>
      <w:tr w:rsidR="00EC458C" w:rsidRPr="00486E67" w:rsidTr="00EC458C">
        <w:tc>
          <w:tcPr>
            <w:tcW w:w="4962" w:type="dxa"/>
          </w:tcPr>
          <w:p w:rsidR="00EC458C" w:rsidRPr="00486E67" w:rsidRDefault="00EC458C" w:rsidP="00064FB9">
            <w:pPr>
              <w:jc w:val="center"/>
            </w:pPr>
            <w:r w:rsidRPr="00486E67">
              <w:t>Найменування товару</w:t>
            </w:r>
          </w:p>
        </w:tc>
        <w:tc>
          <w:tcPr>
            <w:tcW w:w="4110" w:type="dxa"/>
          </w:tcPr>
          <w:p w:rsidR="00EC458C" w:rsidRPr="00486E67" w:rsidRDefault="00EC458C" w:rsidP="00064FB9">
            <w:pPr>
              <w:jc w:val="center"/>
            </w:pPr>
            <w:r w:rsidRPr="00486E67">
              <w:t>Кількість, кВт/год</w:t>
            </w:r>
          </w:p>
        </w:tc>
      </w:tr>
      <w:tr w:rsidR="00EC458C" w:rsidRPr="00486E67" w:rsidTr="00EC458C">
        <w:tc>
          <w:tcPr>
            <w:tcW w:w="4962" w:type="dxa"/>
          </w:tcPr>
          <w:p w:rsidR="00EC458C" w:rsidRPr="00486E67" w:rsidRDefault="00EC458C" w:rsidP="00EC458C">
            <w:pPr>
              <w:jc w:val="both"/>
            </w:pPr>
            <w:r w:rsidRPr="00486E67">
              <w:t>Електрична енергія (з урахуванням затвердженого у встановленому законодавством порядку тарифу на послуги з передачі електричної енергії)</w:t>
            </w:r>
          </w:p>
        </w:tc>
        <w:tc>
          <w:tcPr>
            <w:tcW w:w="4110" w:type="dxa"/>
          </w:tcPr>
          <w:p w:rsidR="00064FB9" w:rsidRDefault="00064FB9" w:rsidP="00EC458C">
            <w:pPr>
              <w:jc w:val="center"/>
            </w:pPr>
          </w:p>
          <w:p w:rsidR="00EC458C" w:rsidRPr="00486E67" w:rsidRDefault="00EC458C" w:rsidP="00EC458C">
            <w:pPr>
              <w:jc w:val="center"/>
            </w:pPr>
            <w:r w:rsidRPr="00486E67">
              <w:t>62000</w:t>
            </w:r>
          </w:p>
        </w:tc>
      </w:tr>
    </w:tbl>
    <w:p w:rsidR="00BF11A1" w:rsidRDefault="00BF11A1" w:rsidP="00817582">
      <w:pPr>
        <w:widowControl w:val="0"/>
        <w:tabs>
          <w:tab w:val="left" w:pos="540"/>
        </w:tabs>
        <w:spacing w:line="240" w:lineRule="auto"/>
        <w:ind w:firstLine="567"/>
        <w:jc w:val="both"/>
        <w:rPr>
          <w:rFonts w:ascii="Times New Roman" w:hAnsi="Times New Roman"/>
          <w:bCs/>
        </w:rPr>
      </w:pPr>
    </w:p>
    <w:p w:rsidR="00893170" w:rsidRPr="00486E67" w:rsidRDefault="00EC458C" w:rsidP="00817582">
      <w:pPr>
        <w:widowControl w:val="0"/>
        <w:tabs>
          <w:tab w:val="left" w:pos="540"/>
        </w:tabs>
        <w:spacing w:line="240" w:lineRule="auto"/>
        <w:ind w:firstLine="567"/>
        <w:jc w:val="both"/>
        <w:rPr>
          <w:rFonts w:ascii="Times New Roman" w:eastAsia="Times New Roman" w:hAnsi="Times New Roman"/>
          <w:lang w:eastAsia="ru-RU"/>
        </w:rPr>
      </w:pPr>
      <w:r w:rsidRPr="00486E67">
        <w:rPr>
          <w:rFonts w:ascii="Times New Roman" w:hAnsi="Times New Roman"/>
          <w:bCs/>
        </w:rPr>
        <w:t>Відповідно до положень пункту 11.4.6 глави 11.4 розділу XI Кодексу систем розподілу, затвердженого постановою НКРЕКП від 14.03.2018 № 310,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 Постачальник зобов’язується дотримуватись якості надання послуг електропостачальника та згідно вимог постанови НКРЕКП від 12.06.2018 № 375 «Про затвердження Порядку забезпечення стандартів якості електропостачання та надання компенсацій споживачам за їх недотримання». В тому числі постачальник зобов'язується забезпечити комерційну якість послуг, які надаються споживачу за договором про постачання електричної енергії споживачу,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p>
    <w:p w:rsidR="00035765" w:rsidRPr="00486E67" w:rsidRDefault="00845B6C" w:rsidP="00845B6C">
      <w:pPr>
        <w:tabs>
          <w:tab w:val="left" w:pos="851"/>
        </w:tabs>
        <w:spacing w:after="0" w:line="240" w:lineRule="auto"/>
        <w:ind w:firstLine="567"/>
        <w:jc w:val="both"/>
        <w:rPr>
          <w:rFonts w:ascii="Times New Roman" w:eastAsia="Times New Roman" w:hAnsi="Times New Roman"/>
          <w:b/>
          <w:lang w:eastAsia="ru-RU"/>
        </w:rPr>
      </w:pPr>
      <w:r w:rsidRPr="00486E67">
        <w:rPr>
          <w:rFonts w:ascii="Times New Roman" w:eastAsia="Times New Roman" w:hAnsi="Times New Roman"/>
          <w:b/>
          <w:lang w:eastAsia="ru-RU"/>
        </w:rPr>
        <w:t xml:space="preserve">5. </w:t>
      </w:r>
      <w:r w:rsidR="00C819C9" w:rsidRPr="00486E67">
        <w:rPr>
          <w:rFonts w:ascii="Times New Roman" w:eastAsia="Times New Roman" w:hAnsi="Times New Roman"/>
          <w:b/>
          <w:lang w:eastAsia="ru-RU"/>
        </w:rPr>
        <w:t xml:space="preserve">Обґрунтування </w:t>
      </w:r>
      <w:r w:rsidR="00B12373" w:rsidRPr="00486E67">
        <w:rPr>
          <w:rFonts w:ascii="Times New Roman" w:eastAsia="Times New Roman" w:hAnsi="Times New Roman"/>
          <w:b/>
          <w:lang w:eastAsia="ru-RU"/>
        </w:rPr>
        <w:t>розміру бюджетного призначення</w:t>
      </w:r>
      <w:r w:rsidR="00E33FD8" w:rsidRPr="00486E67">
        <w:rPr>
          <w:rFonts w:ascii="Times New Roman" w:eastAsia="Times New Roman" w:hAnsi="Times New Roman"/>
          <w:b/>
          <w:lang w:eastAsia="ru-RU"/>
        </w:rPr>
        <w:t>:</w:t>
      </w:r>
      <w:r w:rsidR="009F610E" w:rsidRPr="00486E67">
        <w:rPr>
          <w:rFonts w:ascii="Times New Roman" w:eastAsia="Times New Roman" w:hAnsi="Times New Roman"/>
          <w:b/>
          <w:lang w:eastAsia="ru-RU"/>
        </w:rPr>
        <w:t xml:space="preserve"> </w:t>
      </w:r>
      <w:r w:rsidR="009F610E" w:rsidRPr="00486E67">
        <w:rPr>
          <w:rFonts w:ascii="Times New Roman" w:eastAsia="Times New Roman" w:hAnsi="Times New Roman"/>
          <w:lang w:eastAsia="ru-RU"/>
        </w:rPr>
        <w:t>розмір бюджетного призначення</w:t>
      </w:r>
      <w:r w:rsidR="00772C36" w:rsidRPr="00486E67">
        <w:rPr>
          <w:rFonts w:ascii="Times New Roman" w:eastAsia="Times New Roman" w:hAnsi="Times New Roman"/>
          <w:lang w:eastAsia="ru-RU"/>
        </w:rPr>
        <w:t>,</w:t>
      </w:r>
      <w:r w:rsidR="009F610E" w:rsidRPr="00486E67">
        <w:rPr>
          <w:rFonts w:ascii="Times New Roman" w:eastAsia="Times New Roman" w:hAnsi="Times New Roman"/>
          <w:lang w:eastAsia="ru-RU"/>
        </w:rPr>
        <w:t xml:space="preserve"> визначений </w:t>
      </w:r>
      <w:r w:rsidR="006A468A" w:rsidRPr="00486E67">
        <w:rPr>
          <w:rFonts w:ascii="Times New Roman" w:eastAsia="Times New Roman" w:hAnsi="Times New Roman"/>
          <w:lang w:eastAsia="ru-RU"/>
        </w:rPr>
        <w:t>на</w:t>
      </w:r>
      <w:r w:rsidR="00C65097" w:rsidRPr="00486E67">
        <w:rPr>
          <w:rFonts w:ascii="Times New Roman" w:eastAsia="Times New Roman" w:hAnsi="Times New Roman"/>
          <w:lang w:eastAsia="ru-RU"/>
        </w:rPr>
        <w:t xml:space="preserve"> підставі очікуваної вартості предмету закупівлі</w:t>
      </w:r>
      <w:r w:rsidRPr="00486E67">
        <w:rPr>
          <w:rFonts w:ascii="Times New Roman" w:eastAsia="Times New Roman" w:hAnsi="Times New Roman"/>
          <w:lang w:eastAsia="ru-RU"/>
        </w:rPr>
        <w:t>.</w:t>
      </w:r>
    </w:p>
    <w:p w:rsidR="00F23247" w:rsidRPr="00486E67" w:rsidRDefault="00F23247" w:rsidP="00F23247">
      <w:pPr>
        <w:pStyle w:val="a3"/>
        <w:tabs>
          <w:tab w:val="left" w:pos="851"/>
        </w:tabs>
        <w:spacing w:after="0" w:line="240" w:lineRule="auto"/>
        <w:ind w:left="567"/>
        <w:contextualSpacing w:val="0"/>
        <w:jc w:val="both"/>
        <w:rPr>
          <w:rFonts w:ascii="Times New Roman" w:eastAsia="Times New Roman" w:hAnsi="Times New Roman"/>
          <w:b/>
          <w:sz w:val="22"/>
          <w:szCs w:val="22"/>
          <w:lang w:eastAsia="ru-RU"/>
        </w:rPr>
      </w:pPr>
    </w:p>
    <w:p w:rsidR="00DD4E4A" w:rsidRPr="00486E67" w:rsidRDefault="00845B6C" w:rsidP="00845B6C">
      <w:pPr>
        <w:pStyle w:val="a3"/>
        <w:tabs>
          <w:tab w:val="left" w:pos="851"/>
        </w:tabs>
        <w:spacing w:after="0" w:line="240" w:lineRule="auto"/>
        <w:ind w:left="567"/>
        <w:contextualSpacing w:val="0"/>
        <w:jc w:val="both"/>
        <w:rPr>
          <w:rFonts w:ascii="Times New Roman" w:hAnsi="Times New Roman"/>
          <w:sz w:val="22"/>
          <w:szCs w:val="22"/>
        </w:rPr>
      </w:pPr>
      <w:r w:rsidRPr="00486E67">
        <w:rPr>
          <w:rFonts w:ascii="Times New Roman" w:eastAsia="Times New Roman" w:hAnsi="Times New Roman"/>
          <w:b/>
          <w:sz w:val="22"/>
          <w:szCs w:val="22"/>
          <w:lang w:eastAsia="ru-RU"/>
        </w:rPr>
        <w:t xml:space="preserve">6.  </w:t>
      </w:r>
      <w:r w:rsidR="00DD4E4A" w:rsidRPr="00486E67">
        <w:rPr>
          <w:rFonts w:ascii="Times New Roman" w:eastAsia="Times New Roman" w:hAnsi="Times New Roman"/>
          <w:b/>
          <w:sz w:val="22"/>
          <w:szCs w:val="22"/>
          <w:lang w:eastAsia="ru-RU"/>
        </w:rPr>
        <w:t xml:space="preserve">Очікувана вартість предмета закупівлі: </w:t>
      </w:r>
      <w:r w:rsidR="00486E67" w:rsidRPr="00486E67">
        <w:rPr>
          <w:rFonts w:ascii="Times New Roman" w:eastAsia="Times New Roman" w:hAnsi="Times New Roman"/>
          <w:b/>
          <w:sz w:val="22"/>
          <w:szCs w:val="22"/>
          <w:lang w:eastAsia="ru-RU"/>
        </w:rPr>
        <w:t>372</w:t>
      </w:r>
      <w:r w:rsidR="00817582" w:rsidRPr="00486E67">
        <w:rPr>
          <w:rFonts w:ascii="Times New Roman" w:eastAsia="Times New Roman" w:hAnsi="Times New Roman"/>
          <w:b/>
          <w:sz w:val="22"/>
          <w:szCs w:val="22"/>
          <w:lang w:eastAsia="ru-RU"/>
        </w:rPr>
        <w:t>0</w:t>
      </w:r>
      <w:r w:rsidR="00573D74" w:rsidRPr="00486E67">
        <w:rPr>
          <w:rFonts w:ascii="Times New Roman" w:eastAsia="Times New Roman" w:hAnsi="Times New Roman"/>
          <w:b/>
          <w:sz w:val="22"/>
          <w:szCs w:val="22"/>
          <w:lang w:eastAsia="ru-RU"/>
        </w:rPr>
        <w:t>0</w:t>
      </w:r>
      <w:r w:rsidR="00817582" w:rsidRPr="00486E67">
        <w:rPr>
          <w:rFonts w:ascii="Times New Roman" w:eastAsia="Times New Roman" w:hAnsi="Times New Roman"/>
          <w:b/>
          <w:sz w:val="22"/>
          <w:szCs w:val="22"/>
          <w:lang w:eastAsia="ru-RU"/>
        </w:rPr>
        <w:t>0,00</w:t>
      </w:r>
      <w:r w:rsidR="00DD4E4A" w:rsidRPr="00486E67">
        <w:rPr>
          <w:rFonts w:ascii="Times New Roman" w:eastAsia="Times New Roman" w:hAnsi="Times New Roman"/>
          <w:sz w:val="22"/>
          <w:szCs w:val="22"/>
          <w:lang w:eastAsia="ru-RU"/>
        </w:rPr>
        <w:t xml:space="preserve"> грн з ПДВ.</w:t>
      </w:r>
    </w:p>
    <w:p w:rsidR="00DD4E4A" w:rsidRPr="00486E67" w:rsidRDefault="00DD4E4A" w:rsidP="007817FA">
      <w:pPr>
        <w:spacing w:after="0" w:line="240" w:lineRule="auto"/>
        <w:ind w:firstLine="567"/>
        <w:jc w:val="both"/>
        <w:rPr>
          <w:rFonts w:ascii="Times New Roman" w:hAnsi="Times New Roman"/>
        </w:rPr>
      </w:pPr>
    </w:p>
    <w:p w:rsidR="00B12373" w:rsidRPr="00486E67" w:rsidRDefault="00845B6C" w:rsidP="00845B6C">
      <w:pPr>
        <w:tabs>
          <w:tab w:val="left" w:pos="851"/>
        </w:tabs>
        <w:spacing w:after="0" w:line="240" w:lineRule="auto"/>
        <w:ind w:left="426"/>
        <w:jc w:val="both"/>
        <w:rPr>
          <w:rFonts w:ascii="Times New Roman" w:eastAsia="Times New Roman" w:hAnsi="Times New Roman"/>
          <w:b/>
          <w:lang w:eastAsia="ru-RU"/>
        </w:rPr>
      </w:pPr>
      <w:r w:rsidRPr="00486E67">
        <w:rPr>
          <w:rFonts w:ascii="Times New Roman" w:eastAsia="Times New Roman" w:hAnsi="Times New Roman"/>
          <w:b/>
          <w:lang w:eastAsia="ru-RU"/>
        </w:rPr>
        <w:t xml:space="preserve">  7. </w:t>
      </w:r>
      <w:r w:rsidR="00B6060F" w:rsidRPr="00486E67">
        <w:rPr>
          <w:rFonts w:ascii="Times New Roman" w:eastAsia="Times New Roman" w:hAnsi="Times New Roman"/>
          <w:b/>
          <w:lang w:eastAsia="ru-RU"/>
        </w:rPr>
        <w:t>Обґрунтування</w:t>
      </w:r>
      <w:r w:rsidR="00B12373" w:rsidRPr="00486E67">
        <w:rPr>
          <w:rFonts w:ascii="Times New Roman" w:eastAsia="Times New Roman" w:hAnsi="Times New Roman"/>
          <w:b/>
          <w:lang w:eastAsia="ru-RU"/>
        </w:rPr>
        <w:t xml:space="preserve"> очікуваної вартості предмета закупівлі</w:t>
      </w:r>
      <w:r w:rsidR="00C819C9" w:rsidRPr="00486E67">
        <w:rPr>
          <w:rFonts w:ascii="Times New Roman" w:eastAsia="Times New Roman" w:hAnsi="Times New Roman"/>
          <w:b/>
          <w:lang w:eastAsia="ru-RU"/>
        </w:rPr>
        <w:t>:</w:t>
      </w:r>
    </w:p>
    <w:p w:rsidR="006C7939" w:rsidRPr="00486E67" w:rsidRDefault="00426C9B" w:rsidP="00426C9B">
      <w:pPr>
        <w:spacing w:after="0" w:line="240" w:lineRule="auto"/>
        <w:ind w:firstLine="567"/>
        <w:jc w:val="both"/>
        <w:rPr>
          <w:rFonts w:ascii="Times New Roman" w:eastAsia="Times New Roman" w:hAnsi="Times New Roman"/>
          <w:lang w:eastAsia="ru-RU"/>
        </w:rPr>
      </w:pPr>
      <w:r w:rsidRPr="00486E67">
        <w:rPr>
          <w:rFonts w:ascii="Times New Roman" w:eastAsia="Times New Roman" w:hAnsi="Times New Roman"/>
          <w:lang w:eastAsia="ru-RU"/>
        </w:rPr>
        <w:t>Наказом М</w:t>
      </w:r>
      <w:r w:rsidR="00845B6C" w:rsidRPr="00486E67">
        <w:rPr>
          <w:rFonts w:ascii="Times New Roman" w:eastAsia="Times New Roman" w:hAnsi="Times New Roman"/>
          <w:lang w:eastAsia="ru-RU"/>
        </w:rPr>
        <w:t>іністерств</w:t>
      </w:r>
      <w:r w:rsidRPr="00486E67">
        <w:rPr>
          <w:rFonts w:ascii="Times New Roman" w:eastAsia="Times New Roman" w:hAnsi="Times New Roman"/>
          <w:lang w:eastAsia="ru-RU"/>
        </w:rPr>
        <w:t>а</w:t>
      </w:r>
      <w:r w:rsidR="00845B6C" w:rsidRPr="00486E67">
        <w:rPr>
          <w:rFonts w:ascii="Times New Roman" w:eastAsia="Times New Roman" w:hAnsi="Times New Roman"/>
          <w:lang w:eastAsia="ru-RU"/>
        </w:rPr>
        <w:t xml:space="preserve"> розвитку економіки, торгівлі та сільського господарства України від 18.02.2020 №275</w:t>
      </w:r>
      <w:r w:rsidRPr="00486E67">
        <w:rPr>
          <w:rFonts w:ascii="Times New Roman" w:eastAsia="Times New Roman" w:hAnsi="Times New Roman"/>
          <w:lang w:eastAsia="ru-RU"/>
        </w:rPr>
        <w:t xml:space="preserve"> «Про затвердження примірної методики визначення очікуваної вартості предмета закупівлі» затверджено примірну методику визначення очікуваної вартості предмета закупівлі.</w:t>
      </w:r>
    </w:p>
    <w:p w:rsidR="00B12373" w:rsidRPr="00204038" w:rsidRDefault="00486E67" w:rsidP="00C50EBF">
      <w:pPr>
        <w:spacing w:after="0" w:line="240" w:lineRule="auto"/>
        <w:ind w:firstLine="567"/>
        <w:jc w:val="both"/>
        <w:rPr>
          <w:rFonts w:ascii="Times New Roman" w:eastAsia="Times New Roman" w:hAnsi="Times New Roman"/>
          <w:sz w:val="24"/>
          <w:szCs w:val="24"/>
          <w:lang w:eastAsia="ru-RU"/>
        </w:rPr>
      </w:pPr>
      <w:r w:rsidRPr="00486E67">
        <w:rPr>
          <w:rFonts w:ascii="Times New Roman" w:eastAsia="Times New Roman" w:hAnsi="Times New Roman"/>
          <w:lang w:eastAsia="ru-RU"/>
        </w:rPr>
        <w:t>Р</w:t>
      </w:r>
      <w:r w:rsidR="003B5E7A" w:rsidRPr="00486E67">
        <w:rPr>
          <w:rFonts w:ascii="Times New Roman" w:eastAsia="Times New Roman" w:hAnsi="Times New Roman"/>
          <w:lang w:eastAsia="ru-RU"/>
        </w:rPr>
        <w:t>озрахун</w:t>
      </w:r>
      <w:r w:rsidRPr="00486E67">
        <w:rPr>
          <w:rFonts w:ascii="Times New Roman" w:eastAsia="Times New Roman" w:hAnsi="Times New Roman"/>
          <w:lang w:eastAsia="ru-RU"/>
        </w:rPr>
        <w:t>ок</w:t>
      </w:r>
      <w:r w:rsidR="003B5E7A" w:rsidRPr="00486E67">
        <w:rPr>
          <w:rFonts w:ascii="Times New Roman" w:eastAsia="Times New Roman" w:hAnsi="Times New Roman"/>
          <w:lang w:eastAsia="ru-RU"/>
        </w:rPr>
        <w:t xml:space="preserve"> очікуваної вартості </w:t>
      </w:r>
      <w:r w:rsidRPr="00486E67">
        <w:rPr>
          <w:rFonts w:ascii="Times New Roman" w:eastAsia="Times New Roman" w:hAnsi="Times New Roman"/>
          <w:lang w:eastAsia="ru-RU"/>
        </w:rPr>
        <w:t>здійснено на підставі методу закупівельних цін попередніх закупівель з враху</w:t>
      </w:r>
      <w:r w:rsidR="00BF11A1">
        <w:rPr>
          <w:rFonts w:ascii="Times New Roman" w:eastAsia="Times New Roman" w:hAnsi="Times New Roman"/>
          <w:lang w:eastAsia="ru-RU"/>
        </w:rPr>
        <w:t>ванням коефіцієнту інфляції та інформації</w:t>
      </w:r>
      <w:r w:rsidR="003B5E7A" w:rsidRPr="00486E67">
        <w:rPr>
          <w:rFonts w:ascii="Times New Roman" w:eastAsia="Times New Roman" w:hAnsi="Times New Roman"/>
          <w:lang w:eastAsia="ru-RU"/>
        </w:rPr>
        <w:t xml:space="preserve"> про</w:t>
      </w:r>
      <w:r w:rsidR="00BF11A1">
        <w:rPr>
          <w:rFonts w:ascii="Times New Roman" w:eastAsia="Times New Roman" w:hAnsi="Times New Roman"/>
          <w:lang w:eastAsia="ru-RU"/>
        </w:rPr>
        <w:t xml:space="preserve"> ціни, які містя</w:t>
      </w:r>
      <w:r w:rsidR="003B5E7A" w:rsidRPr="00486E67">
        <w:rPr>
          <w:rFonts w:ascii="Times New Roman" w:eastAsia="Times New Roman" w:hAnsi="Times New Roman"/>
          <w:lang w:eastAsia="ru-RU"/>
        </w:rPr>
        <w:t>ться в електронній системі закупівель "</w:t>
      </w:r>
      <w:proofErr w:type="spellStart"/>
      <w:r w:rsidR="003B5E7A" w:rsidRPr="00486E67">
        <w:rPr>
          <w:rFonts w:ascii="Times New Roman" w:eastAsia="Times New Roman" w:hAnsi="Times New Roman"/>
          <w:lang w:eastAsia="ru-RU"/>
        </w:rPr>
        <w:t>Prozorro</w:t>
      </w:r>
      <w:proofErr w:type="spellEnd"/>
      <w:r w:rsidR="003B5E7A" w:rsidRPr="00486E67">
        <w:rPr>
          <w:rFonts w:ascii="Times New Roman" w:eastAsia="Times New Roman" w:hAnsi="Times New Roman"/>
          <w:lang w:eastAsia="ru-RU"/>
        </w:rPr>
        <w:t>".</w:t>
      </w:r>
    </w:p>
    <w:sectPr w:rsidR="00B12373" w:rsidRPr="00204038" w:rsidSect="001668BF">
      <w:pgSz w:w="11906" w:h="16838"/>
      <w:pgMar w:top="567" w:right="851"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449A9"/>
    <w:multiLevelType w:val="multilevel"/>
    <w:tmpl w:val="2AA2F41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38C47820"/>
    <w:multiLevelType w:val="hybridMultilevel"/>
    <w:tmpl w:val="7B5025A6"/>
    <w:lvl w:ilvl="0" w:tplc="4192CD74">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nsid w:val="646F3BBD"/>
    <w:multiLevelType w:val="hybridMultilevel"/>
    <w:tmpl w:val="EE7CA17E"/>
    <w:lvl w:ilvl="0" w:tplc="0B28584E">
      <w:start w:val="1"/>
      <w:numFmt w:val="decimal"/>
      <w:lvlText w:val="%1)"/>
      <w:lvlJc w:val="left"/>
      <w:pPr>
        <w:ind w:left="1070" w:hanging="360"/>
      </w:pPr>
      <w:rPr>
        <w:color w:val="auto"/>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4">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2"/>
  </w:compat>
  <w:rsids>
    <w:rsidRoot w:val="000B1F80"/>
    <w:rsid w:val="000210D2"/>
    <w:rsid w:val="00035765"/>
    <w:rsid w:val="000527DD"/>
    <w:rsid w:val="00064FB9"/>
    <w:rsid w:val="00083B42"/>
    <w:rsid w:val="00087F1C"/>
    <w:rsid w:val="000B1F80"/>
    <w:rsid w:val="000C58C4"/>
    <w:rsid w:val="000D292C"/>
    <w:rsid w:val="000D4E09"/>
    <w:rsid w:val="001149A0"/>
    <w:rsid w:val="00146C3E"/>
    <w:rsid w:val="0015274D"/>
    <w:rsid w:val="001668BF"/>
    <w:rsid w:val="001E4591"/>
    <w:rsid w:val="001F3A51"/>
    <w:rsid w:val="00204038"/>
    <w:rsid w:val="00214C14"/>
    <w:rsid w:val="00222D54"/>
    <w:rsid w:val="00264880"/>
    <w:rsid w:val="00273797"/>
    <w:rsid w:val="002F7D8B"/>
    <w:rsid w:val="003250E4"/>
    <w:rsid w:val="00330E37"/>
    <w:rsid w:val="00347FC7"/>
    <w:rsid w:val="003678FA"/>
    <w:rsid w:val="00370C4C"/>
    <w:rsid w:val="0038019F"/>
    <w:rsid w:val="003920C0"/>
    <w:rsid w:val="0039585A"/>
    <w:rsid w:val="003B5E7A"/>
    <w:rsid w:val="003C784A"/>
    <w:rsid w:val="00426C9B"/>
    <w:rsid w:val="00486E67"/>
    <w:rsid w:val="005621FD"/>
    <w:rsid w:val="00573D74"/>
    <w:rsid w:val="00575E3F"/>
    <w:rsid w:val="00595B53"/>
    <w:rsid w:val="006065A6"/>
    <w:rsid w:val="006124A8"/>
    <w:rsid w:val="00691B46"/>
    <w:rsid w:val="006A1BE5"/>
    <w:rsid w:val="006A468A"/>
    <w:rsid w:val="006C7939"/>
    <w:rsid w:val="006D6144"/>
    <w:rsid w:val="0071711D"/>
    <w:rsid w:val="007577F6"/>
    <w:rsid w:val="00772C36"/>
    <w:rsid w:val="007817FA"/>
    <w:rsid w:val="0080340E"/>
    <w:rsid w:val="00817582"/>
    <w:rsid w:val="00845B6C"/>
    <w:rsid w:val="00857F61"/>
    <w:rsid w:val="008920DD"/>
    <w:rsid w:val="00893170"/>
    <w:rsid w:val="008A39B1"/>
    <w:rsid w:val="008B26F8"/>
    <w:rsid w:val="008C72F7"/>
    <w:rsid w:val="008F241F"/>
    <w:rsid w:val="00967420"/>
    <w:rsid w:val="009A6C83"/>
    <w:rsid w:val="009F610E"/>
    <w:rsid w:val="00A614DA"/>
    <w:rsid w:val="00A83726"/>
    <w:rsid w:val="00AC2949"/>
    <w:rsid w:val="00B12373"/>
    <w:rsid w:val="00B42A97"/>
    <w:rsid w:val="00B44B35"/>
    <w:rsid w:val="00B6060F"/>
    <w:rsid w:val="00BC0197"/>
    <w:rsid w:val="00BC6322"/>
    <w:rsid w:val="00BF11A1"/>
    <w:rsid w:val="00C50EBF"/>
    <w:rsid w:val="00C65097"/>
    <w:rsid w:val="00C819C9"/>
    <w:rsid w:val="00D417A2"/>
    <w:rsid w:val="00D641D7"/>
    <w:rsid w:val="00D97752"/>
    <w:rsid w:val="00DD4E4A"/>
    <w:rsid w:val="00E33508"/>
    <w:rsid w:val="00E33FD8"/>
    <w:rsid w:val="00EA7A3B"/>
    <w:rsid w:val="00EC458C"/>
    <w:rsid w:val="00ED7C2D"/>
    <w:rsid w:val="00F1761C"/>
    <w:rsid w:val="00F23247"/>
    <w:rsid w:val="00F94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sz w:val="20"/>
      <w:szCs w:val="20"/>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a5">
    <w:name w:val="a"/>
    <w:basedOn w:val="a"/>
    <w:rsid w:val="006C7939"/>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6">
    <w:name w:val="Гіперпосилання"/>
    <w:basedOn w:val="a0"/>
    <w:uiPriority w:val="99"/>
    <w:unhideWhenUsed/>
    <w:rsid w:val="00F1761C"/>
    <w:rPr>
      <w:color w:val="0000FF" w:themeColor="hyperlink"/>
      <w:u w:val="single"/>
    </w:rPr>
  </w:style>
  <w:style w:type="character" w:customStyle="1" w:styleId="FontStyle12">
    <w:name w:val="Font Style12"/>
    <w:rsid w:val="00893170"/>
    <w:rPr>
      <w:rFonts w:ascii="Times New Roman" w:hAnsi="Times New Roman" w:cs="Times New Roman"/>
      <w:sz w:val="26"/>
      <w:szCs w:val="26"/>
    </w:rPr>
  </w:style>
  <w:style w:type="table" w:styleId="a7">
    <w:name w:val="Table Grid"/>
    <w:basedOn w:val="a1"/>
    <w:rsid w:val="00EC458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336253">
      <w:bodyDiv w:val="1"/>
      <w:marLeft w:val="0"/>
      <w:marRight w:val="0"/>
      <w:marTop w:val="0"/>
      <w:marBottom w:val="0"/>
      <w:divBdr>
        <w:top w:val="none" w:sz="0" w:space="0" w:color="auto"/>
        <w:left w:val="none" w:sz="0" w:space="0" w:color="auto"/>
        <w:bottom w:val="none" w:sz="0" w:space="0" w:color="auto"/>
        <w:right w:val="none" w:sz="0" w:space="0" w:color="auto"/>
      </w:divBdr>
    </w:div>
    <w:div w:id="1026180772">
      <w:bodyDiv w:val="1"/>
      <w:marLeft w:val="0"/>
      <w:marRight w:val="0"/>
      <w:marTop w:val="0"/>
      <w:marBottom w:val="0"/>
      <w:divBdr>
        <w:top w:val="none" w:sz="0" w:space="0" w:color="auto"/>
        <w:left w:val="none" w:sz="0" w:space="0" w:color="auto"/>
        <w:bottom w:val="none" w:sz="0" w:space="0" w:color="auto"/>
        <w:right w:val="none" w:sz="0" w:space="0" w:color="auto"/>
      </w:divBdr>
    </w:div>
    <w:div w:id="1036590030">
      <w:bodyDiv w:val="1"/>
      <w:marLeft w:val="0"/>
      <w:marRight w:val="0"/>
      <w:marTop w:val="0"/>
      <w:marBottom w:val="0"/>
      <w:divBdr>
        <w:top w:val="none" w:sz="0" w:space="0" w:color="auto"/>
        <w:left w:val="none" w:sz="0" w:space="0" w:color="auto"/>
        <w:bottom w:val="none" w:sz="0" w:space="0" w:color="auto"/>
        <w:right w:val="none" w:sz="0" w:space="0" w:color="auto"/>
      </w:divBdr>
    </w:div>
    <w:div w:id="1210265274">
      <w:bodyDiv w:val="1"/>
      <w:marLeft w:val="0"/>
      <w:marRight w:val="0"/>
      <w:marTop w:val="0"/>
      <w:marBottom w:val="0"/>
      <w:divBdr>
        <w:top w:val="none" w:sz="0" w:space="0" w:color="auto"/>
        <w:left w:val="none" w:sz="0" w:space="0" w:color="auto"/>
        <w:bottom w:val="none" w:sz="0" w:space="0" w:color="auto"/>
        <w:right w:val="none" w:sz="0" w:space="0" w:color="auto"/>
      </w:divBdr>
    </w:div>
    <w:div w:id="1589732041">
      <w:bodyDiv w:val="1"/>
      <w:marLeft w:val="0"/>
      <w:marRight w:val="0"/>
      <w:marTop w:val="0"/>
      <w:marBottom w:val="0"/>
      <w:divBdr>
        <w:top w:val="none" w:sz="0" w:space="0" w:color="auto"/>
        <w:left w:val="none" w:sz="0" w:space="0" w:color="auto"/>
        <w:bottom w:val="none" w:sz="0" w:space="0" w:color="auto"/>
        <w:right w:val="none" w:sz="0" w:space="0" w:color="auto"/>
      </w:divBdr>
    </w:div>
    <w:div w:id="1732919647">
      <w:bodyDiv w:val="1"/>
      <w:marLeft w:val="0"/>
      <w:marRight w:val="0"/>
      <w:marTop w:val="0"/>
      <w:marBottom w:val="0"/>
      <w:divBdr>
        <w:top w:val="none" w:sz="0" w:space="0" w:color="auto"/>
        <w:left w:val="none" w:sz="0" w:space="0" w:color="auto"/>
        <w:bottom w:val="none" w:sz="0" w:space="0" w:color="auto"/>
        <w:right w:val="none" w:sz="0" w:space="0" w:color="auto"/>
      </w:divBdr>
    </w:div>
    <w:div w:id="213216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DEB5B-96FF-41D7-8343-F6868961C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540</Words>
  <Characters>3079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2800-shvetss</dc:creator>
  <cp:keywords/>
  <cp:lastModifiedBy>i.miroshnichenko</cp:lastModifiedBy>
  <cp:revision>15</cp:revision>
  <cp:lastPrinted>2023-04-14T06:35:00Z</cp:lastPrinted>
  <dcterms:created xsi:type="dcterms:W3CDTF">2021-02-23T14:41:00Z</dcterms:created>
  <dcterms:modified xsi:type="dcterms:W3CDTF">2023-04-14T06:50:00Z</dcterms:modified>
</cp:coreProperties>
</file>