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DC31D3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D3">
              <w:rPr>
                <w:rFonts w:ascii="Times New Roman" w:hAnsi="Times New Roman" w:cs="Times New Roman"/>
                <w:sz w:val="24"/>
                <w:szCs w:val="24"/>
              </w:rPr>
              <w:t>Вугілля кам'яне марки ДГ (13-100) для потреб структурних підрозділів Кіровоградського обласного центру зайнятості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 xml:space="preserve">09110000-3 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>Тверде паливо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DC31D3" w:rsidP="007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552000</w:t>
            </w:r>
            <w:r w:rsidR="00530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DC31D3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552000</w:t>
            </w:r>
            <w:r w:rsidR="00260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C31D3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C31D3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DC31D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UA-2024-05-20-005853-a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C31D3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44C1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8FEF-0FE5-4210-98A0-AE0E9DE8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40</cp:revision>
  <cp:lastPrinted>2023-02-27T09:29:00Z</cp:lastPrinted>
  <dcterms:created xsi:type="dcterms:W3CDTF">2022-12-20T09:25:00Z</dcterms:created>
  <dcterms:modified xsi:type="dcterms:W3CDTF">2024-05-20T10:45:00Z</dcterms:modified>
</cp:coreProperties>
</file>