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4B282F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2F">
              <w:rPr>
                <w:rFonts w:ascii="Times New Roman" w:hAnsi="Times New Roman" w:cs="Times New Roman"/>
                <w:sz w:val="24"/>
                <w:szCs w:val="24"/>
              </w:rPr>
              <w:t>Інформаційна панель з написом (плівка) (з доставкою та монтажем), несвітловий логотип (з доставкою та монтажем)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2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 xml:space="preserve">22460000-2 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82F" w:rsidRPr="004B282F">
              <w:rPr>
                <w:rFonts w:ascii="Times New Roman" w:hAnsi="Times New Roman" w:cs="Times New Roman"/>
                <w:sz w:val="24"/>
                <w:szCs w:val="24"/>
              </w:rPr>
              <w:t>Рекламні матеріали, каталоги товарів та посібники</w:t>
            </w:r>
            <w:r w:rsidR="004B28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4B282F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17616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4B282F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17616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</w:t>
            </w:r>
            <w:bookmarkStart w:id="0" w:name="_GoBack"/>
            <w:bookmarkEnd w:id="0"/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4B282F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07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4B282F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4B28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UA-2024-11-05-011831-a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90C78"/>
    <w:rsid w:val="003D2FD3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22A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1DA0-F140-4C37-A530-C853BE6E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2024-11-05T14:12:00Z</dcterms:modified>
</cp:coreProperties>
</file>